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9632" w14:textId="77777777" w:rsidR="00976933" w:rsidRDefault="00976933" w:rsidP="00976933">
      <w:pPr>
        <w:pStyle w:val="Normaalweb"/>
        <w:shd w:val="clear" w:color="auto" w:fill="FFFFFF"/>
        <w:spacing w:before="0" w:beforeAutospacing="0" w:after="0" w:afterAutospacing="0"/>
        <w:jc w:val="center"/>
        <w:textAlignment w:val="baseline"/>
        <w:rPr>
          <w:rFonts w:ascii="Calibri" w:hAnsi="Calibri" w:cs="Calibri"/>
          <w:color w:val="201F1E"/>
          <w:sz w:val="22"/>
          <w:szCs w:val="22"/>
        </w:rPr>
      </w:pPr>
      <w:r>
        <w:rPr>
          <w:rFonts w:ascii="inherit" w:hAnsi="inherit" w:cs="Calibri"/>
          <w:b/>
          <w:bCs/>
          <w:color w:val="201F1E"/>
          <w:bdr w:val="none" w:sz="0" w:space="0" w:color="auto" w:frame="1"/>
        </w:rPr>
        <w:t>Notulen MR</w:t>
      </w:r>
      <w:r>
        <w:rPr>
          <w:rFonts w:ascii="inherit" w:hAnsi="inherit" w:cs="Calibri"/>
          <w:color w:val="201F1E"/>
          <w:bdr w:val="none" w:sz="0" w:space="0" w:color="auto" w:frame="1"/>
        </w:rPr>
        <w:t> </w:t>
      </w:r>
    </w:p>
    <w:p w14:paraId="75DDC0A5" w14:textId="77777777" w:rsidR="00976933" w:rsidRDefault="00976933" w:rsidP="00976933">
      <w:pPr>
        <w:pStyle w:val="Normaalweb"/>
        <w:shd w:val="clear" w:color="auto" w:fill="FFFFFF"/>
        <w:spacing w:before="0" w:beforeAutospacing="0" w:after="0" w:afterAutospacing="0"/>
        <w:jc w:val="center"/>
        <w:textAlignment w:val="baseline"/>
        <w:rPr>
          <w:rFonts w:ascii="Calibri" w:hAnsi="Calibri" w:cs="Calibri"/>
          <w:color w:val="201F1E"/>
          <w:sz w:val="22"/>
          <w:szCs w:val="22"/>
        </w:rPr>
      </w:pPr>
      <w:r>
        <w:rPr>
          <w:rFonts w:ascii="inherit" w:hAnsi="inherit" w:cs="Calibri"/>
          <w:color w:val="201F1E"/>
          <w:bdr w:val="none" w:sz="0" w:space="0" w:color="auto" w:frame="1"/>
        </w:rPr>
        <w:t> </w:t>
      </w:r>
    </w:p>
    <w:p w14:paraId="57347AE4"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bdr w:val="none" w:sz="0" w:space="0" w:color="auto" w:frame="1"/>
        </w:rPr>
        <w:t>Datum: </w:t>
      </w:r>
      <w:r>
        <w:rPr>
          <w:rFonts w:ascii="Calibri" w:hAnsi="Calibri" w:cs="Calibri"/>
          <w:color w:val="201F1E"/>
          <w:sz w:val="22"/>
          <w:szCs w:val="22"/>
          <w:bdr w:val="none" w:sz="0" w:space="0" w:color="auto" w:frame="1"/>
        </w:rPr>
        <w:t>4 oktober 2021 </w:t>
      </w:r>
    </w:p>
    <w:p w14:paraId="135B6DE6"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bdr w:val="none" w:sz="0" w:space="0" w:color="auto" w:frame="1"/>
        </w:rPr>
        <w:t>Locatie: </w:t>
      </w:r>
      <w:r>
        <w:rPr>
          <w:rFonts w:ascii="Calibri" w:hAnsi="Calibri" w:cs="Calibri"/>
          <w:color w:val="201F1E"/>
          <w:sz w:val="22"/>
          <w:szCs w:val="22"/>
          <w:bdr w:val="none" w:sz="0" w:space="0" w:color="auto" w:frame="1"/>
        </w:rPr>
        <w:t>Online  </w:t>
      </w:r>
    </w:p>
    <w:p w14:paraId="3593C7B4"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bdr w:val="none" w:sz="0" w:space="0" w:color="auto" w:frame="1"/>
        </w:rPr>
        <w:t>Deelnemers: </w:t>
      </w:r>
      <w:r>
        <w:rPr>
          <w:rFonts w:ascii="Calibri" w:hAnsi="Calibri" w:cs="Calibri"/>
          <w:color w:val="201F1E"/>
          <w:sz w:val="22"/>
          <w:szCs w:val="22"/>
          <w:bdr w:val="none" w:sz="0" w:space="0" w:color="auto" w:frame="1"/>
        </w:rPr>
        <w:t>Lisa Lemmers, Marijke Morren, Jan Willem Hengeveld, Cor Spiegels, Niels Hardeman, Dorine de Jong, Michiel Scholte </w:t>
      </w:r>
    </w:p>
    <w:p w14:paraId="0161123F"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0405A3CD"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De MR heeft nogmaals naar het beschikbaar stellen van middelen voor </w:t>
      </w:r>
      <w:proofErr w:type="spellStart"/>
      <w:r>
        <w:rPr>
          <w:rFonts w:ascii="Calibri" w:hAnsi="Calibri" w:cs="Calibri"/>
          <w:color w:val="201F1E"/>
          <w:sz w:val="22"/>
          <w:szCs w:val="22"/>
          <w:bdr w:val="none" w:sz="0" w:space="0" w:color="auto" w:frame="1"/>
        </w:rPr>
        <w:t>bovenschoolse</w:t>
      </w:r>
      <w:proofErr w:type="spellEnd"/>
      <w:r>
        <w:rPr>
          <w:rFonts w:ascii="Calibri" w:hAnsi="Calibri" w:cs="Calibri"/>
          <w:color w:val="201F1E"/>
          <w:sz w:val="22"/>
          <w:szCs w:val="22"/>
          <w:bdr w:val="none" w:sz="0" w:space="0" w:color="auto" w:frame="1"/>
        </w:rPr>
        <w:t xml:space="preserve"> inzet van de NP Onderwijs gelden besproken. De MR kan zich vinden in de inzet van </w:t>
      </w:r>
      <w:proofErr w:type="spellStart"/>
      <w:r>
        <w:rPr>
          <w:rFonts w:ascii="Calibri" w:hAnsi="Calibri" w:cs="Calibri"/>
          <w:color w:val="201F1E"/>
          <w:sz w:val="22"/>
          <w:szCs w:val="22"/>
          <w:bdr w:val="none" w:sz="0" w:space="0" w:color="auto" w:frame="1"/>
        </w:rPr>
        <w:t>bovenschoolse</w:t>
      </w:r>
      <w:proofErr w:type="spellEnd"/>
      <w:r>
        <w:rPr>
          <w:rFonts w:ascii="Calibri" w:hAnsi="Calibri" w:cs="Calibri"/>
          <w:color w:val="201F1E"/>
          <w:sz w:val="22"/>
          <w:szCs w:val="22"/>
          <w:bdr w:val="none" w:sz="0" w:space="0" w:color="auto" w:frame="1"/>
        </w:rPr>
        <w:t xml:space="preserve"> middelen voor de </w:t>
      </w:r>
      <w:proofErr w:type="spellStart"/>
      <w:r>
        <w:rPr>
          <w:rFonts w:ascii="Calibri" w:hAnsi="Calibri" w:cs="Calibri"/>
          <w:color w:val="201F1E"/>
          <w:sz w:val="22"/>
          <w:szCs w:val="22"/>
          <w:bdr w:val="none" w:sz="0" w:space="0" w:color="auto" w:frame="1"/>
        </w:rPr>
        <w:t>PLG’s</w:t>
      </w:r>
      <w:proofErr w:type="spellEnd"/>
      <w:r>
        <w:rPr>
          <w:rFonts w:ascii="Calibri" w:hAnsi="Calibri" w:cs="Calibri"/>
          <w:color w:val="201F1E"/>
          <w:sz w:val="22"/>
          <w:szCs w:val="22"/>
          <w:bdr w:val="none" w:sz="0" w:space="0" w:color="auto" w:frame="1"/>
        </w:rPr>
        <w:t xml:space="preserve"> en de opleidingen van Dorine en Marijke en kan daarvoor een bedrag in het schoolplan opnemen.  Omgerekend naar de berekening van het bestuur zou dat gaan om een bedrag van € 4.500.</w:t>
      </w:r>
    </w:p>
    <w:p w14:paraId="6769A9B1"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5B9FD5CE" w14:textId="77777777" w:rsidR="00976933" w:rsidRDefault="00976933" w:rsidP="00976933">
      <w:pPr>
        <w:pStyle w:val="Norma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xml:space="preserve">Tegelijk ervaart de MR het STEV kader nog als een beperking omdat door het STEV kader een deel van de gekozen interventies uit de menukaart niet zijn toegekend. De MR adviseert daarom alleen bij de GMR in te stemmen op de </w:t>
      </w:r>
      <w:proofErr w:type="spellStart"/>
      <w:r>
        <w:rPr>
          <w:rFonts w:ascii="Calibri" w:hAnsi="Calibri" w:cs="Calibri"/>
          <w:color w:val="201F1E"/>
          <w:sz w:val="22"/>
          <w:szCs w:val="22"/>
          <w:bdr w:val="none" w:sz="0" w:space="0" w:color="auto" w:frame="1"/>
        </w:rPr>
        <w:t>bovenschoolse</w:t>
      </w:r>
      <w:proofErr w:type="spellEnd"/>
      <w:r>
        <w:rPr>
          <w:rFonts w:ascii="Calibri" w:hAnsi="Calibri" w:cs="Calibri"/>
          <w:color w:val="201F1E"/>
          <w:sz w:val="22"/>
          <w:szCs w:val="22"/>
          <w:bdr w:val="none" w:sz="0" w:space="0" w:color="auto" w:frame="1"/>
        </w:rPr>
        <w:t xml:space="preserve"> inzet van middelen als niet tegelijk een stem voor de middelen een stem voor het kader zou betekenen of als het STEV kader zou worden aangepast waardoor middelen die aan de Griftschool toebehoren ook naar de Griftschool gaan.</w:t>
      </w:r>
    </w:p>
    <w:p w14:paraId="1DDA2D02" w14:textId="77777777" w:rsidR="00CF7168" w:rsidRDefault="00CE13DC"/>
    <w:sectPr w:rsidR="00CF7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33"/>
    <w:rsid w:val="005A6FFE"/>
    <w:rsid w:val="00976933"/>
    <w:rsid w:val="00C26F38"/>
    <w:rsid w:val="00CE1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6C66"/>
  <w15:chartTrackingRefBased/>
  <w15:docId w15:val="{2C93F6F7-25D4-457B-8B4D-229C0C74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93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9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873</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Lemmers</dc:creator>
  <cp:keywords/>
  <dc:description/>
  <cp:lastModifiedBy>Dorine</cp:lastModifiedBy>
  <cp:revision>2</cp:revision>
  <dcterms:created xsi:type="dcterms:W3CDTF">2021-10-08T09:32:00Z</dcterms:created>
  <dcterms:modified xsi:type="dcterms:W3CDTF">2021-10-08T09:32:00Z</dcterms:modified>
</cp:coreProperties>
</file>